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1C" w:rsidRDefault="00E65E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1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2A1C7" w:themeFill="accent4" w:themeFillTint="99"/>
        <w:tblLayout w:type="fixed"/>
        <w:tblLook w:val="0400" w:firstRow="0" w:lastRow="0" w:firstColumn="0" w:lastColumn="0" w:noHBand="0" w:noVBand="1"/>
      </w:tblPr>
      <w:tblGrid>
        <w:gridCol w:w="960"/>
        <w:gridCol w:w="2775"/>
        <w:gridCol w:w="8130"/>
      </w:tblGrid>
      <w:tr w:rsidR="00E65E1C" w:rsidTr="009E1FE7">
        <w:trPr>
          <w:trHeight w:val="321"/>
        </w:trPr>
        <w:tc>
          <w:tcPr>
            <w:tcW w:w="11865" w:type="dxa"/>
            <w:gridSpan w:val="3"/>
            <w:shd w:val="clear" w:color="auto" w:fill="B2A1C7" w:themeFill="accent4" w:themeFillTint="99"/>
            <w:vAlign w:val="center"/>
          </w:tcPr>
          <w:p w:rsidR="00E65E1C" w:rsidRDefault="00B363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DETAILED FACULTY</w:t>
            </w:r>
            <w:r w:rsidR="00CF0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BIODATA FOR COLLEGE WEBSITE JUNE 2024 TO MAY 2025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JYOTHSNA C.R.</w:t>
            </w:r>
          </w:p>
        </w:tc>
      </w:tr>
      <w:tr w:rsidR="00766801" w:rsidTr="00CF0DDF">
        <w:trPr>
          <w:trHeight w:val="506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ASSISTANT PROFESSOR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Number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9383450981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9383450981</w:t>
            </w:r>
          </w:p>
        </w:tc>
      </w:tr>
      <w:tr w:rsidR="00766801" w:rsidTr="00CF0DDF">
        <w:trPr>
          <w:trHeight w:val="405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CR.JYOTHSNA@GMAIL.COM</w:t>
            </w:r>
          </w:p>
        </w:tc>
      </w:tr>
      <w:tr w:rsidR="00766801" w:rsidTr="00CF0DDF">
        <w:trPr>
          <w:trHeight w:val="465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Institutional Email ID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JYOTHSNACR@SNCWKOLLAM.ORG</w:t>
            </w:r>
          </w:p>
        </w:tc>
      </w:tr>
      <w:tr w:rsidR="00766801" w:rsidTr="00CF0DDF">
        <w:trPr>
          <w:trHeight w:val="617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 Number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929068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Web Page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801" w:rsidTr="00CF0DDF">
        <w:trPr>
          <w:trHeight w:val="339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Entry into Service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28/09/2020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Retirement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31/03/2054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Edu. Qualifications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 , NET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Areas of Interest/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Specialisation</w:t>
            </w:r>
            <w:proofErr w:type="spellEnd"/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CULTURAL STUDIES, NATIONALISM, LITERARY THEORY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Courses/Subject Taught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Field of Research </w:t>
            </w:r>
          </w:p>
        </w:tc>
        <w:tc>
          <w:tcPr>
            <w:tcW w:w="8130" w:type="dxa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CULTURAL STUDIES, NATIONALISM</w:t>
            </w:r>
          </w:p>
        </w:tc>
      </w:tr>
      <w:tr w:rsidR="00766801" w:rsidTr="009E1FE7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Guideship Details (Guideship order number and date, Research Centre, Number of PhD students &amp; title of their research topic)</w:t>
            </w:r>
            <w:r w:rsidR="00CC2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NA</w:t>
            </w:r>
          </w:p>
        </w:tc>
      </w:tr>
      <w:tr w:rsidR="00766801" w:rsidTr="009E1FE7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numPr>
                <w:ilvl w:val="0"/>
                <w:numId w:val="1"/>
              </w:numPr>
              <w:spacing w:line="360" w:lineRule="auto"/>
              <w:ind w:left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Affiliated University: </w:t>
            </w:r>
          </w:p>
          <w:p w:rsidR="00766801" w:rsidRDefault="00766801" w:rsidP="00766801">
            <w:pPr>
              <w:numPr>
                <w:ilvl w:val="0"/>
                <w:numId w:val="1"/>
              </w:numPr>
              <w:spacing w:line="360" w:lineRule="auto"/>
              <w:ind w:left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Subject: </w:t>
            </w:r>
          </w:p>
          <w:p w:rsidR="00766801" w:rsidRDefault="00766801" w:rsidP="00766801">
            <w:pPr>
              <w:numPr>
                <w:ilvl w:val="0"/>
                <w:numId w:val="1"/>
              </w:numPr>
              <w:spacing w:line="360" w:lineRule="auto"/>
              <w:ind w:left="6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Guideship Order Number &amp; Date: </w:t>
            </w:r>
          </w:p>
          <w:p w:rsidR="00766801" w:rsidRDefault="00766801" w:rsidP="00766801">
            <w:pPr>
              <w:numPr>
                <w:ilvl w:val="0"/>
                <w:numId w:val="1"/>
              </w:numPr>
              <w:spacing w:line="360" w:lineRule="auto"/>
              <w:ind w:left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Research Centre: </w:t>
            </w:r>
          </w:p>
          <w:p w:rsidR="00766801" w:rsidRDefault="00766801" w:rsidP="00766801">
            <w:pPr>
              <w:numPr>
                <w:ilvl w:val="0"/>
                <w:numId w:val="1"/>
              </w:numPr>
              <w:spacing w:line="360" w:lineRule="auto"/>
              <w:ind w:left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 Full time PhD Research Scholars:</w:t>
            </w:r>
          </w:p>
          <w:p w:rsidR="00766801" w:rsidRDefault="00766801" w:rsidP="00766801">
            <w:pPr>
              <w:numPr>
                <w:ilvl w:val="0"/>
                <w:numId w:val="1"/>
              </w:numPr>
              <w:spacing w:line="360" w:lineRule="auto"/>
              <w:ind w:left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 Part  time PhD Research Scholars:</w:t>
            </w:r>
          </w:p>
          <w:p w:rsidR="00766801" w:rsidRDefault="00766801" w:rsidP="00766801">
            <w:pPr>
              <w:numPr>
                <w:ilvl w:val="0"/>
                <w:numId w:val="1"/>
              </w:numPr>
              <w:spacing w:line="360" w:lineRule="auto"/>
              <w:ind w:left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Details of PhD Research Scholars (Full Name, Title of Topic, Year of Joining):</w:t>
            </w:r>
          </w:p>
          <w:p w:rsidR="00766801" w:rsidRDefault="00766801" w:rsidP="00766801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766801" w:rsidRDefault="00766801" w:rsidP="00766801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766801" w:rsidRDefault="00766801" w:rsidP="00766801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766801" w:rsidRDefault="00766801" w:rsidP="00766801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Profile Link/ORCID ID/Research Gate Profile Link (Give the links)</w:t>
            </w:r>
          </w:p>
        </w:tc>
      </w:tr>
      <w:tr w:rsidR="00766801" w:rsidTr="009E1FE7">
        <w:trPr>
          <w:trHeight w:val="321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CC2CC9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ind w:left="630" w:hanging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Patent Obtained/Applied (Give the details)</w:t>
            </w:r>
          </w:p>
        </w:tc>
      </w:tr>
      <w:tr w:rsidR="00766801" w:rsidTr="009E1FE7">
        <w:trPr>
          <w:trHeight w:val="321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CC2CC9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Experience (Permanent) (Give the details)</w:t>
            </w:r>
          </w:p>
        </w:tc>
      </w:tr>
      <w:tr w:rsidR="00766801" w:rsidTr="009E1FE7">
        <w:trPr>
          <w:trHeight w:val="462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766801" w:rsidRDefault="00766801" w:rsidP="00766801">
            <w:pPr>
              <w:pStyle w:val="ListParagraph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years 9 months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Narayana College for Women, Kollam</w:t>
            </w:r>
          </w:p>
          <w:p w:rsidR="00766801" w:rsidRPr="00766801" w:rsidRDefault="00766801" w:rsidP="0076680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ind w:left="630" w:hanging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Experience (Contract) (Give the details)</w:t>
            </w:r>
          </w:p>
        </w:tc>
      </w:tr>
      <w:tr w:rsidR="00766801" w:rsidTr="009E1FE7">
        <w:trPr>
          <w:trHeight w:val="321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 1 year: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Krishna college,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Guruvayur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ind w:left="630" w:hanging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Experience</w:t>
            </w:r>
          </w:p>
        </w:tc>
      </w:tr>
      <w:tr w:rsidR="00766801" w:rsidTr="009E1FE7">
        <w:trPr>
          <w:trHeight w:val="321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CC2CC9" w:rsidP="007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PURSUING PHD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ind w:left="630" w:hanging="6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Memberships in Learned Bodies/Societies, If Any</w:t>
            </w:r>
          </w:p>
        </w:tc>
      </w:tr>
      <w:tr w:rsidR="00766801" w:rsidTr="009E1FE7">
        <w:trPr>
          <w:trHeight w:val="447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EC5C7B" w:rsidRDefault="00CC2CC9" w:rsidP="00766801">
            <w:pPr>
              <w:rPr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Scholarships/Fellowships Obtained</w:t>
            </w:r>
          </w:p>
        </w:tc>
      </w:tr>
      <w:tr w:rsidR="00766801" w:rsidTr="009E1FE7">
        <w:trPr>
          <w:trHeight w:val="343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CC2CC9" w:rsidP="007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79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Papers Published (Mention UGC Care Listed/Peer-reviewed). Include Name of Authors, Year, Name of Journal, Volume, Page numbers, ISSN Number, DOC if any</w:t>
            </w:r>
          </w:p>
        </w:tc>
      </w:tr>
      <w:tr w:rsidR="00766801" w:rsidTr="009E1FE7">
        <w:trPr>
          <w:trHeight w:val="272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‘Advertisements as Cultural Indicators’: A Study of Indian Advertisements’, in </w:t>
            </w:r>
            <w:r w:rsidRPr="00564E59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Lux Monti’s: A Peer Reviewed Bi-annual Research Journal</w:t>
            </w: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 ISSN 2321-8053, Vol.5, No.1 January 2017.</w:t>
            </w:r>
          </w:p>
          <w:p w:rsidR="00766801" w:rsidRPr="00564E59" w:rsidRDefault="00766801" w:rsidP="00766801">
            <w:pPr>
              <w:numPr>
                <w:ilvl w:val="0"/>
                <w:numId w:val="6"/>
              </w:numPr>
              <w:spacing w:line="360" w:lineRule="auto"/>
              <w:ind w:right="1302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‘National Identities on Display: The Role of Amul Advertisements in Building Indian Identity’</w:t>
            </w:r>
            <w:r w:rsidRPr="00564E59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, Research Lines: Peer Reviewed Interdisciplinary Research Journal</w:t>
            </w: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</w:t>
            </w:r>
            <w:r w:rsidRPr="00564E5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ISSN 0975-8941, Vol. IX, No.2, December 2016</w:t>
            </w:r>
          </w:p>
          <w:p w:rsidR="00766801" w:rsidRPr="00564E59" w:rsidRDefault="00766801" w:rsidP="00766801">
            <w:pPr>
              <w:numPr>
                <w:ilvl w:val="0"/>
                <w:numId w:val="6"/>
              </w:numPr>
              <w:spacing w:line="360" w:lineRule="auto"/>
              <w:ind w:right="86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A Study on Re-defining Womanhood and Subversion of Patriarchal Ideology in the light of Deepa Mehta’s Oeuvre </w:t>
            </w:r>
            <w:r w:rsidRPr="00564E59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 xml:space="preserve">Fire’, OIIRJ, </w:t>
            </w: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ISSN 2249-9598, Impact factor 5.818, July 2019 Special Issue.</w:t>
            </w:r>
          </w:p>
          <w:p w:rsidR="00766801" w:rsidRPr="00564E59" w:rsidRDefault="00766801" w:rsidP="00766801">
            <w:pPr>
              <w:numPr>
                <w:ilvl w:val="0"/>
                <w:numId w:val="6"/>
              </w:numPr>
              <w:spacing w:line="360" w:lineRule="auto"/>
              <w:ind w:right="934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‘Celebration of Body: A Carnivalesque Study of Selected Advertisements’, </w:t>
            </w:r>
            <w:r w:rsidRPr="00564E59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 xml:space="preserve">OIIRJ, </w:t>
            </w: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ISSN 2249-9598, Impact factor 5.818, June 2019</w:t>
            </w:r>
          </w:p>
          <w:p w:rsidR="00766801" w:rsidRDefault="00766801" w:rsidP="00766801">
            <w:pPr>
              <w:numPr>
                <w:ilvl w:val="0"/>
                <w:numId w:val="6"/>
              </w:numPr>
              <w:spacing w:line="360" w:lineRule="auto"/>
              <w:ind w:right="175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‘ The Allegory of Spectatorship and Role of Myth in Deepa Mehta’s Film </w:t>
            </w:r>
            <w:r w:rsidRPr="00564E59"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Fire’, RJELAL,</w:t>
            </w: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ISSN 2321-3108, Impact Factor 6-8992, 5 March 2020</w:t>
            </w:r>
          </w:p>
          <w:p w:rsidR="00766801" w:rsidRPr="00995564" w:rsidRDefault="00766801" w:rsidP="00766801">
            <w:pPr>
              <w:numPr>
                <w:ilvl w:val="0"/>
                <w:numId w:val="6"/>
              </w:numPr>
              <w:spacing w:line="360" w:lineRule="auto"/>
              <w:ind w:right="175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Published a Paper in UGC care list journal ISSN2321-984X titled “Matrimony Classified as a Paradigm of Social Exclusion” in February 2021</w:t>
            </w:r>
          </w:p>
          <w:p w:rsidR="00766801" w:rsidRPr="00564E59" w:rsidRDefault="00766801" w:rsidP="00766801">
            <w:pPr>
              <w:numPr>
                <w:ilvl w:val="0"/>
                <w:numId w:val="6"/>
              </w:numPr>
              <w:spacing w:before="60" w:after="240" w:line="36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“New Discourses on Womanhood: An Appraisal of Indian Advertisements in Cultivating the ‘Mean World Syndrome’ in the Neo-Liberal Space” In the UGC Care list journal with ISSN 2321-984x in 2022</w:t>
            </w:r>
          </w:p>
        </w:tc>
      </w:tr>
      <w:tr w:rsidR="00766801" w:rsidTr="00CF0DDF">
        <w:trPr>
          <w:trHeight w:val="272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Popular Article Published </w:t>
            </w:r>
          </w:p>
        </w:tc>
      </w:tr>
      <w:tr w:rsidR="00766801" w:rsidTr="009E1FE7">
        <w:trPr>
          <w:trHeight w:val="272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CC2CC9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272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 Published (Include ISBN/ISSN Number)</w:t>
            </w:r>
          </w:p>
        </w:tc>
      </w:tr>
      <w:tr w:rsidR="00766801" w:rsidTr="009E1FE7">
        <w:trPr>
          <w:trHeight w:val="272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Served as an Associate Editor for the book </w:t>
            </w:r>
            <w:r w:rsidRPr="00564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Glass Ceiling Barriers Created by Women </w:t>
            </w: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with ISBN 9789393253255 published in 2022</w:t>
            </w:r>
          </w:p>
          <w:p w:rsidR="00766801" w:rsidRPr="00564E59" w:rsidRDefault="00766801" w:rsidP="00766801">
            <w:pPr>
              <w:numPr>
                <w:ilvl w:val="0"/>
                <w:numId w:val="7"/>
              </w:numPr>
              <w:spacing w:line="360" w:lineRule="auto"/>
              <w:ind w:right="17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Editorial Board Associate for the UGC Care list journal </w:t>
            </w:r>
            <w:r w:rsidRPr="00564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 International multi-lateral </w:t>
            </w:r>
            <w:proofErr w:type="spellStart"/>
            <w:r w:rsidRPr="00564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Thamizhe</w:t>
            </w:r>
            <w:proofErr w:type="spellEnd"/>
            <w:r w:rsidRPr="00564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Journal</w:t>
            </w: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ISSN 2321- 984x.</w:t>
            </w:r>
          </w:p>
          <w:p w:rsidR="00766801" w:rsidRDefault="00766801" w:rsidP="007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6801" w:rsidTr="00CF0DDF">
        <w:trPr>
          <w:trHeight w:val="272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Papers Presented</w:t>
            </w:r>
          </w:p>
        </w:tc>
      </w:tr>
      <w:tr w:rsidR="00766801" w:rsidTr="009E1FE7">
        <w:trPr>
          <w:trHeight w:val="585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Presented a paper in the National Seminar on “Distinctions: Popular Culture and Its Other” organized by the </w:t>
            </w:r>
            <w:proofErr w:type="spellStart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Illahia</w:t>
            </w:r>
            <w:proofErr w:type="spellEnd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College,Muvattupuzha</w:t>
            </w:r>
            <w:proofErr w:type="spellEnd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association with School of Letters, Mahatma Gandhi University.</w:t>
            </w:r>
          </w:p>
          <w:p w:rsidR="00766801" w:rsidRPr="00564E59" w:rsidRDefault="00766801" w:rsidP="00766801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Presented a paper in the National seminar on “Reconstructing Women: Feminism and Subversion of Women’s Identity” conducted by </w:t>
            </w:r>
            <w:proofErr w:type="spellStart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Illahia</w:t>
            </w:r>
            <w:proofErr w:type="spellEnd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college, </w:t>
            </w:r>
            <w:proofErr w:type="spellStart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Muvattupuzha</w:t>
            </w:r>
            <w:proofErr w:type="spellEnd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66801" w:rsidRPr="00564E59" w:rsidRDefault="00766801" w:rsidP="00766801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6801" w:rsidRPr="00564E59" w:rsidRDefault="00766801" w:rsidP="00766801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Presented a paper “Fallacy of Reification: A Study of Alienated Self in Advertisements” in National Conference Simulacrum conducted by Department of English, Acharya Institute of Graduate </w:t>
            </w:r>
            <w:proofErr w:type="spellStart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Studies,Bengalure</w:t>
            </w:r>
            <w:proofErr w:type="spellEnd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Central University.</w:t>
            </w:r>
          </w:p>
          <w:p w:rsidR="00766801" w:rsidRPr="00564E59" w:rsidRDefault="00766801" w:rsidP="00766801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Presented a paper “</w:t>
            </w: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New Discourses on Womanhood” </w:t>
            </w: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 the webinar session “Culture and Plurality” under the National Webinar Series - EIDOS: Reflections on Culture conducted by Kerala Sahitya </w:t>
            </w:r>
            <w:proofErr w:type="spellStart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Akademi</w:t>
            </w:r>
            <w:proofErr w:type="spellEnd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Keralavarma</w:t>
            </w:r>
            <w:proofErr w:type="spellEnd"/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 “Culture in November 2020.</w:t>
            </w:r>
          </w:p>
          <w:p w:rsidR="00766801" w:rsidRPr="00564E59" w:rsidRDefault="00766801" w:rsidP="007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66801" w:rsidTr="00CF0DDF">
        <w:trPr>
          <w:trHeight w:val="195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Invited Talks/Public Talks delivered</w:t>
            </w:r>
          </w:p>
        </w:tc>
      </w:tr>
      <w:tr w:rsidR="00766801" w:rsidTr="009E1FE7">
        <w:trPr>
          <w:trHeight w:val="405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CC2CC9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450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Collaboration/Consultancy/Linkages</w:t>
            </w:r>
          </w:p>
        </w:tc>
      </w:tr>
      <w:tr w:rsidR="00766801" w:rsidTr="009E1FE7">
        <w:trPr>
          <w:trHeight w:val="465"/>
        </w:trPr>
        <w:tc>
          <w:tcPr>
            <w:tcW w:w="960" w:type="dxa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CC2CC9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240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Orientation Courses Attended</w:t>
            </w:r>
          </w:p>
        </w:tc>
      </w:tr>
      <w:tr w:rsidR="00766801" w:rsidTr="00CF0DDF">
        <w:trPr>
          <w:trHeight w:val="525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766801" w:rsidRDefault="00766801" w:rsidP="00766801">
            <w:pPr>
              <w:pStyle w:val="ListParagraph"/>
              <w:numPr>
                <w:ilvl w:val="3"/>
                <w:numId w:val="8"/>
              </w:numPr>
              <w:spacing w:line="36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6680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Successfully completed a 4-Week Induction/Orientation Program for "Faculty in Universities/Colleges/Institutes of Higher Education" from November 10- December 09, 2020 and obtained a grade A+.</w:t>
            </w:r>
          </w:p>
          <w:p w:rsidR="00766801" w:rsidRPr="00B10468" w:rsidRDefault="00766801" w:rsidP="00766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6801" w:rsidTr="00CF0DDF">
        <w:trPr>
          <w:trHeight w:val="166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Refresher Courses Attended</w:t>
            </w:r>
          </w:p>
        </w:tc>
      </w:tr>
      <w:tr w:rsidR="00766801" w:rsidTr="00CF0DDF">
        <w:trPr>
          <w:trHeight w:val="525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564E59" w:rsidRDefault="00766801" w:rsidP="007668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Successfully completed Two Weeks Online Faculty Development Program on “PEDAGOGY AND RESEARCH METHODS” conducted by Human Resource Development Centre &amp; IQAC of Academy of Maritime Education and Training (AMET) from 24 May to 6 June, 2021.</w:t>
            </w:r>
          </w:p>
          <w:p w:rsidR="00766801" w:rsidRPr="00564E59" w:rsidRDefault="00766801" w:rsidP="0076680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Participated and successfully completed the One Week (7 Days) online Short-Term Faculty Training Program (Interdisciplinary) on “DIGITAL CONTENT MANAGEMENT ON E-LEARNING”, which was delivered as MOOC with four quadrants, organized by </w:t>
            </w:r>
            <w:proofErr w:type="spellStart"/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Narayana </w:t>
            </w: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College for Women, Kollam, in academic collaboration with Kerala State Higher Education Council from June 13th to June 19th of 2021.</w:t>
            </w:r>
          </w:p>
          <w:p w:rsidR="00766801" w:rsidRPr="00564E59" w:rsidRDefault="00766801" w:rsidP="0076680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Successfully completed Two weeks Interdisciplinary International Refresher Course on “Academic Bank of Credits (ABC) Scheme in Higher Education, UGC Regulation, 2021 (With reference to Blended Learning)” from 7th – 20th July, 2021 and obtained Grade A+.</w:t>
            </w:r>
          </w:p>
          <w:p w:rsidR="00766801" w:rsidRPr="00564E59" w:rsidRDefault="00766801" w:rsidP="0076680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Successfully completed the Two-week online Refresher Course in “ENGLISH STUDIES” “RE-ENERGISING RESEARCH: INTERDISCIPLINARY AND TRANSCULTURAL APPROACHES TO INDIAN LITERATURE” organized by Teaching Learning Centre, Department of English and Internal Quality Assurance Cell, Ramanujan College held from 1- 14 August, 2021 and obtained Grade A+.</w:t>
            </w:r>
          </w:p>
          <w:p w:rsidR="00766801" w:rsidRPr="00564E59" w:rsidRDefault="00766801" w:rsidP="0076680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Successfully completed Online one-week Faculty Development Program on “TEACHING-LEARNING METHODS: FROM MICRO-TEACHING TO PEER LEARNING” conducted by Teaching Learning Centre, Ramanujan College University of Delhi under the aegis of Ministry of Education, Pandit Madan Mohan </w:t>
            </w:r>
            <w:proofErr w:type="spellStart"/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Malaviya</w:t>
            </w:r>
            <w:proofErr w:type="spellEnd"/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Mission on Teachers and Teaching from 11 - 17 June, 2022 and obtained Grade A+.</w:t>
            </w:r>
          </w:p>
          <w:p w:rsidR="00766801" w:rsidRPr="00564E59" w:rsidRDefault="00766801" w:rsidP="0076680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Successfully Completed online Two - Week Interdisciplinary Refresher Course in “ADVANCED RESEARCH METHODOLOGY” from 27 October - 10 November, 2022 and obtained Grade A+.</w:t>
            </w:r>
          </w:p>
          <w:p w:rsidR="00766801" w:rsidRPr="00564E59" w:rsidRDefault="00766801" w:rsidP="0076680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Attended workshop on SLCM conducted by the University of Kerala on 27 January 2023 at T K M College of Arts and Science, Kollam.</w:t>
            </w:r>
          </w:p>
          <w:p w:rsidR="00766801" w:rsidRPr="00564E59" w:rsidRDefault="00766801" w:rsidP="00766801">
            <w:pPr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Successfully completed online Two -Week REFRESHER COURSE in “ENGLISH” from 18 June - 02 July, 2023 and obtained Grade A+.</w:t>
            </w:r>
          </w:p>
          <w:p w:rsidR="00766801" w:rsidRPr="00564E59" w:rsidRDefault="00766801" w:rsidP="0076680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Successfully completed online two -week REFRESHER COURSE in “ENGLISH” from 28 March - 10 April, 2024 and obtained Grade A+.</w:t>
            </w:r>
          </w:p>
          <w:p w:rsidR="00766801" w:rsidRPr="00564E59" w:rsidRDefault="00766801" w:rsidP="007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Seminars/Workshops/Training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Organised</w:t>
            </w:r>
            <w:proofErr w:type="spellEnd"/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1t3h5sf" w:colFirst="0" w:colLast="0"/>
            <w:bookmarkEnd w:id="0"/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CC2CC9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Workshops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Organised</w:t>
            </w:r>
            <w:proofErr w:type="spellEnd"/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Training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Organised</w:t>
            </w:r>
            <w:proofErr w:type="spellEnd"/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Pr="00CC2CC9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Orientation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/Induction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Organised</w:t>
            </w:r>
            <w:proofErr w:type="spellEnd"/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FDP/Any Other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Organised</w:t>
            </w:r>
            <w:proofErr w:type="spellEnd"/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Startups/Innovation/Incubation Centre (Give the details)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CC2CC9" w:rsidP="007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766801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766801" w:rsidRDefault="00766801" w:rsidP="007668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766801" w:rsidRDefault="00766801" w:rsidP="007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Seminars/Conferences Attended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z337ya" w:colFirst="0" w:colLast="0"/>
            <w:bookmarkEnd w:id="1"/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Participated in the National Seminar on “Distinctions: Popular Culture and Its Other” organized by the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Illahia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College,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Muvattupuzha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association with the School of Letters, Mahatma Gandhi University.</w:t>
            </w:r>
          </w:p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spacing w:line="360" w:lineRule="auto"/>
              <w:ind w:right="1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Participated in the webinar lecture series conducted by Research and Postgraduate Department of English,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Sankara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 on the topic “Engaging Theory: Past and Future Prospects”.</w:t>
            </w:r>
          </w:p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spacing w:line="360" w:lineRule="auto"/>
              <w:ind w:right="9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Participated in the short-term course on “Intersection of Philosophy and Literary Theory” conducted by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Sankara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Kalady</w:t>
            </w:r>
            <w:proofErr w:type="spellEnd"/>
          </w:p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Participated in the National webinar series on “Surveillance and Society” conducted by N. S. S. Arts and Science College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Parakkulam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Participated in the webinar session “Culture and Plurality” under the National Webinar Series - EIDOS: Reflections on Culture conducted by Kerala Sahitya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Akademi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Keralavarma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 “Culture in November 2020.</w:t>
            </w:r>
          </w:p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Participated in the online short-term course on “Intersection of Philosophy and Literary Theory” by Dr.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Sooraj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Pittapilil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September 2020.</w:t>
            </w:r>
          </w:p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Seminar Series conducted by The Research and Postgraduate Department of English,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Sankara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College,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Kalady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on the topic “Engaging Theory on the topic ‘Triggering the Polemical Debate on Post: Evolution and Moorings of Theory” by Dr.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Muralikrishnan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TR.</w:t>
            </w:r>
          </w:p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Seminar Series conducted by The Research and  Postgraduate Department of  English,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Sankara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 ,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Kalady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on the topic “Engaging Theory on the topic ‘ Enlightenment as Metanarrative: Scope of Deconstruction” by Dr.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Sooraj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George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Pittappillil</w:t>
            </w:r>
            <w:proofErr w:type="spellEnd"/>
          </w:p>
          <w:p w:rsidR="00F3430D" w:rsidRPr="00995564" w:rsidRDefault="00F3430D" w:rsidP="00F3430D">
            <w:pPr>
              <w:pStyle w:val="ListParagraph"/>
              <w:numPr>
                <w:ilvl w:val="1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Seminar Series conducted by The Research and  Postgraduate Department of  English,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Sree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Sankara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College ,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Kalady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on the topic “Engaging Theory from Counter discourse to Discourse: Tracing the Trajectory of Postcolonialism” by </w:t>
            </w:r>
            <w:proofErr w:type="spellStart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Dr.Jyothi</w:t>
            </w:r>
            <w:proofErr w:type="spellEnd"/>
            <w:r w:rsidRPr="0099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Mol P</w:t>
            </w:r>
          </w:p>
          <w:p w:rsidR="00F3430D" w:rsidRPr="00564E59" w:rsidRDefault="00F3430D" w:rsidP="00F3430D">
            <w:pPr>
              <w:ind w:left="720" w:right="175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F3430D" w:rsidRPr="00564E59" w:rsidRDefault="00F3430D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Default="00F3430D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Workshops Attended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564E59" w:rsidRDefault="00F3430D" w:rsidP="00F3430D">
            <w:pPr>
              <w:numPr>
                <w:ilvl w:val="0"/>
                <w:numId w:val="11"/>
              </w:numPr>
              <w:spacing w:before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hAnsi="Times New Roman" w:cs="Times New Roman"/>
                <w:b/>
                <w:sz w:val="24"/>
                <w:szCs w:val="24"/>
              </w:rPr>
              <w:t>Attended workshop on SLCM conducted by the University of Kerala on 27 January 2023 at T K M College of Arts and Science, Kollam.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Default="00F3430D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Trainings Attended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CC2CC9" w:rsidRDefault="00CC2CC9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Default="00F3430D" w:rsidP="00F343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Extension Activities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/Participated inside the Campus</w:t>
            </w:r>
          </w:p>
        </w:tc>
      </w:tr>
      <w:tr w:rsidR="00F3430D" w:rsidTr="00CF0DDF">
        <w:trPr>
          <w:trHeight w:val="600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CC2CC9" w:rsidRDefault="00CC2CC9" w:rsidP="00C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F3430D" w:rsidTr="00CF0DDF">
        <w:trPr>
          <w:trHeight w:val="600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Default="00F3430D" w:rsidP="00F3430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Extension Activities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/Participated outside the Campus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CC2CC9" w:rsidRDefault="00CC2CC9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Default="00F3430D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Representation in Syndicate/Senate/Academic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ouncil/Board of Studies 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9E1FE7" w:rsidRDefault="00CC2CC9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Default="00F3430D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Tutorship in UG/PG (Mention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lass and Year/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atch)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CC2CC9" w:rsidRDefault="00CC2CC9" w:rsidP="00CC2CC9">
            <w:pPr>
              <w:pStyle w:val="ListParagraph"/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Under Graduate Program Class in-charge (2021-2024)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Default="00F3430D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Academic Responsibilities Undertaken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F3430D" w:rsidRDefault="00F3430D" w:rsidP="00F3430D">
            <w:pPr>
              <w:spacing w:before="25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Kerala University External Examiner for the Degree Sixth Semester Viva Voce – KSMDB College, </w:t>
            </w:r>
            <w:r w:rsidR="00CC2CC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Sasthamcotta</w:t>
            </w:r>
            <w:proofErr w:type="spellEnd"/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(2021-2022).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Default="00F3430D" w:rsidP="00F34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 other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Duties Performed at College</w:t>
            </w:r>
          </w:p>
        </w:tc>
      </w:tr>
      <w:tr w:rsidR="00F3430D" w:rsidTr="00CF0DDF">
        <w:trPr>
          <w:trHeight w:val="321"/>
        </w:trPr>
        <w:tc>
          <w:tcPr>
            <w:tcW w:w="960" w:type="dxa"/>
            <w:shd w:val="clear" w:color="auto" w:fill="B2A1C7" w:themeFill="accent4" w:themeFillTint="99"/>
            <w:vAlign w:val="center"/>
          </w:tcPr>
          <w:p w:rsidR="00F3430D" w:rsidRDefault="00F3430D" w:rsidP="00F343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</w:tcPr>
          <w:p w:rsidR="00F3430D" w:rsidRPr="00564E59" w:rsidRDefault="00F3430D" w:rsidP="00F3430D">
            <w:pPr>
              <w:widowControl w:val="0"/>
              <w:numPr>
                <w:ilvl w:val="0"/>
                <w:numId w:val="12"/>
              </w:num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Theatre Club- Member</w:t>
            </w:r>
          </w:p>
          <w:p w:rsidR="00F3430D" w:rsidRPr="00564E59" w:rsidRDefault="00F3430D" w:rsidP="00F3430D">
            <w:pPr>
              <w:widowControl w:val="0"/>
              <w:numPr>
                <w:ilvl w:val="0"/>
                <w:numId w:val="12"/>
              </w:num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Student Library Council Affiliated to Rural and Public Libraries- Member </w:t>
            </w:r>
          </w:p>
          <w:p w:rsidR="00F3430D" w:rsidRPr="00564E59" w:rsidRDefault="00F3430D" w:rsidP="00F3430D">
            <w:pPr>
              <w:widowControl w:val="0"/>
              <w:numPr>
                <w:ilvl w:val="0"/>
                <w:numId w:val="12"/>
              </w:num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Campus Cleaning Beautification- Member</w:t>
            </w:r>
          </w:p>
          <w:p w:rsidR="00F3430D" w:rsidRDefault="00F3430D" w:rsidP="00F3430D">
            <w:pPr>
              <w:widowControl w:val="0"/>
              <w:numPr>
                <w:ilvl w:val="0"/>
                <w:numId w:val="12"/>
              </w:num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564E5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Entrepreneurship Development Club- Member</w:t>
            </w:r>
          </w:p>
          <w:p w:rsidR="00F3430D" w:rsidRDefault="00F3430D" w:rsidP="00F3430D">
            <w:pPr>
              <w:widowControl w:val="0"/>
              <w:numPr>
                <w:ilvl w:val="0"/>
                <w:numId w:val="12"/>
              </w:num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3430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Consumer Club- Member</w:t>
            </w:r>
          </w:p>
          <w:p w:rsidR="00F3430D" w:rsidRPr="00F3430D" w:rsidRDefault="00F3430D" w:rsidP="00F3430D">
            <w:pPr>
              <w:widowControl w:val="0"/>
              <w:numPr>
                <w:ilvl w:val="0"/>
                <w:numId w:val="12"/>
              </w:num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3430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Admission committee – Member</w:t>
            </w:r>
          </w:p>
          <w:p w:rsidR="00F3430D" w:rsidRPr="00F3430D" w:rsidRDefault="00F3430D" w:rsidP="00F3430D">
            <w:pPr>
              <w:widowControl w:val="0"/>
              <w:ind w:left="72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</w:tbl>
    <w:p w:rsidR="00E65E1C" w:rsidRDefault="00E65E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E1C" w:rsidRDefault="00E65E1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E65E1C" w:rsidSect="00206F8E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CF" w:rsidRDefault="001C36CF">
      <w:pPr>
        <w:spacing w:after="0" w:line="240" w:lineRule="auto"/>
      </w:pPr>
      <w:r>
        <w:separator/>
      </w:r>
    </w:p>
  </w:endnote>
  <w:endnote w:type="continuationSeparator" w:id="0">
    <w:p w:rsidR="001C36CF" w:rsidRDefault="001C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E1C" w:rsidRDefault="00206F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B363BC">
      <w:rPr>
        <w:color w:val="000000"/>
      </w:rPr>
      <w:instrText>PAGE</w:instrText>
    </w:r>
    <w:r>
      <w:rPr>
        <w:color w:val="000000"/>
      </w:rPr>
      <w:fldChar w:fldCharType="separate"/>
    </w:r>
    <w:r w:rsidR="00CF0DDF">
      <w:rPr>
        <w:noProof/>
        <w:color w:val="000000"/>
      </w:rPr>
      <w:t>1</w:t>
    </w:r>
    <w:r>
      <w:rPr>
        <w:color w:val="000000"/>
      </w:rPr>
      <w:fldChar w:fldCharType="end"/>
    </w:r>
  </w:p>
  <w:p w:rsidR="00E65E1C" w:rsidRDefault="00E65E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CF" w:rsidRDefault="001C36CF">
      <w:pPr>
        <w:spacing w:after="0" w:line="240" w:lineRule="auto"/>
      </w:pPr>
      <w:r>
        <w:separator/>
      </w:r>
    </w:p>
  </w:footnote>
  <w:footnote w:type="continuationSeparator" w:id="0">
    <w:p w:rsidR="001C36CF" w:rsidRDefault="001C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3E6"/>
    <w:multiLevelType w:val="multilevel"/>
    <w:tmpl w:val="7C38D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3E7D73"/>
    <w:multiLevelType w:val="multilevel"/>
    <w:tmpl w:val="0AE2E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8C5BD7"/>
    <w:multiLevelType w:val="hybridMultilevel"/>
    <w:tmpl w:val="B6D49C0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0A9D"/>
    <w:multiLevelType w:val="multilevel"/>
    <w:tmpl w:val="9EA25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6F6252"/>
    <w:multiLevelType w:val="multilevel"/>
    <w:tmpl w:val="6A108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1775FD"/>
    <w:multiLevelType w:val="hybridMultilevel"/>
    <w:tmpl w:val="9E3A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3CBB"/>
    <w:multiLevelType w:val="multilevel"/>
    <w:tmpl w:val="083E9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75A3A1A"/>
    <w:multiLevelType w:val="multilevel"/>
    <w:tmpl w:val="911EB6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AA1176"/>
    <w:multiLevelType w:val="hybridMultilevel"/>
    <w:tmpl w:val="29CE25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5E36"/>
    <w:multiLevelType w:val="multilevel"/>
    <w:tmpl w:val="FDA680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0B51FD3"/>
    <w:multiLevelType w:val="multilevel"/>
    <w:tmpl w:val="331E7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1D84C21"/>
    <w:multiLevelType w:val="hybridMultilevel"/>
    <w:tmpl w:val="8D46630C"/>
    <w:lvl w:ilvl="0" w:tplc="4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1C"/>
    <w:rsid w:val="000A189F"/>
    <w:rsid w:val="00147B1F"/>
    <w:rsid w:val="001C36CF"/>
    <w:rsid w:val="00206F8E"/>
    <w:rsid w:val="002719FF"/>
    <w:rsid w:val="002B4B76"/>
    <w:rsid w:val="00354FB1"/>
    <w:rsid w:val="00362161"/>
    <w:rsid w:val="00434C5D"/>
    <w:rsid w:val="00470390"/>
    <w:rsid w:val="006571BC"/>
    <w:rsid w:val="00657912"/>
    <w:rsid w:val="006803D2"/>
    <w:rsid w:val="006C7D62"/>
    <w:rsid w:val="00766801"/>
    <w:rsid w:val="007744B7"/>
    <w:rsid w:val="007A3710"/>
    <w:rsid w:val="008761B8"/>
    <w:rsid w:val="008A347D"/>
    <w:rsid w:val="008B4D50"/>
    <w:rsid w:val="0096718B"/>
    <w:rsid w:val="00967799"/>
    <w:rsid w:val="009B52EE"/>
    <w:rsid w:val="009E1FE7"/>
    <w:rsid w:val="00A57F6E"/>
    <w:rsid w:val="00A9039F"/>
    <w:rsid w:val="00AB3FF4"/>
    <w:rsid w:val="00AF2063"/>
    <w:rsid w:val="00B10468"/>
    <w:rsid w:val="00B363BC"/>
    <w:rsid w:val="00C11058"/>
    <w:rsid w:val="00C72B51"/>
    <w:rsid w:val="00CA1D4B"/>
    <w:rsid w:val="00CC2CC9"/>
    <w:rsid w:val="00CF0DDF"/>
    <w:rsid w:val="00D81383"/>
    <w:rsid w:val="00DE19FE"/>
    <w:rsid w:val="00DE66C3"/>
    <w:rsid w:val="00E1322A"/>
    <w:rsid w:val="00E65E1C"/>
    <w:rsid w:val="00EC5C7B"/>
    <w:rsid w:val="00F11074"/>
    <w:rsid w:val="00F3430D"/>
    <w:rsid w:val="00F6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45B15"/>
  <w15:docId w15:val="{4F746F55-6692-45F6-B435-048E9440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C93"/>
  </w:style>
  <w:style w:type="paragraph" w:styleId="Heading1">
    <w:name w:val="heading 1"/>
    <w:basedOn w:val="Normal"/>
    <w:next w:val="Normal"/>
    <w:uiPriority w:val="9"/>
    <w:qFormat/>
    <w:rsid w:val="00206F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06F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06F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06F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06F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06F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06F8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E5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E5C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8F7"/>
  </w:style>
  <w:style w:type="paragraph" w:styleId="Footer">
    <w:name w:val="footer"/>
    <w:basedOn w:val="Normal"/>
    <w:link w:val="FooterChar"/>
    <w:uiPriority w:val="99"/>
    <w:unhideWhenUsed/>
    <w:rsid w:val="00EC7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F7"/>
  </w:style>
  <w:style w:type="paragraph" w:styleId="BalloonText">
    <w:name w:val="Balloon Text"/>
    <w:basedOn w:val="Normal"/>
    <w:link w:val="BalloonTextChar"/>
    <w:uiPriority w:val="99"/>
    <w:semiHidden/>
    <w:unhideWhenUsed/>
    <w:rsid w:val="00EC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6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4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73D58"/>
    <w:rPr>
      <w:i/>
      <w:iCs/>
    </w:rPr>
  </w:style>
  <w:style w:type="character" w:styleId="Strong">
    <w:name w:val="Strong"/>
    <w:basedOn w:val="DefaultParagraphFont"/>
    <w:uiPriority w:val="22"/>
    <w:qFormat/>
    <w:rsid w:val="00566F9F"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00206F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6F8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206F8E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5SGNGQkIRWNVz1AxlLUdb1C1w==">CgMxLjAyCWguMXQzaDVzZjIIaC56MzM3eWE4AHIhMTZFU3FiM21Bb2d2aURPa2M2dWc4YnVwTFB3NllmUlFj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B603DC-5AD1-458E-B885-95FE4D87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1397</Words>
  <Characters>8176</Characters>
  <Application>Microsoft Office Word</Application>
  <DocSecurity>0</DocSecurity>
  <Lines>302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2025-06-09T07:21:00Z</dcterms:created>
  <dcterms:modified xsi:type="dcterms:W3CDTF">2025-06-09T07:21:00Z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fafb76dbe6c08d4439a310d7fe3e9b93e5773d6dfba16f6dee3022f1ca997c27</vt:lpwstr>
  </property>
</Properties>
</file>